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0A69161" w14:textId="562481FA" w:rsidR="002300D4" w:rsidRDefault="00E42324">
      <w:r>
        <w:rPr>
          <w:noProof/>
        </w:rPr>
        <w:drawing>
          <wp:anchor distT="0" distB="0" distL="114300" distR="114300" simplePos="0" relativeHeight="251656704" behindDoc="1" locked="0" layoutInCell="1" allowOverlap="1" wp14:anchorId="3C77E6AD" wp14:editId="10C132EC">
            <wp:simplePos x="0" y="0"/>
            <wp:positionH relativeFrom="margin">
              <wp:align>center</wp:align>
            </wp:positionH>
            <wp:positionV relativeFrom="paragraph">
              <wp:posOffset>0</wp:posOffset>
            </wp:positionV>
            <wp:extent cx="1606868" cy="856996"/>
            <wp:effectExtent l="0" t="0" r="0" b="635"/>
            <wp:wrapTight wrapText="bothSides">
              <wp:wrapPolygon edited="0">
                <wp:start x="3842" y="0"/>
                <wp:lineTo x="1793" y="4804"/>
                <wp:lineTo x="0" y="8166"/>
                <wp:lineTo x="0" y="11048"/>
                <wp:lineTo x="3586" y="15371"/>
                <wp:lineTo x="3586" y="16812"/>
                <wp:lineTo x="15624" y="21136"/>
                <wp:lineTo x="18953" y="21136"/>
                <wp:lineTo x="20490" y="21136"/>
                <wp:lineTo x="19466" y="15371"/>
                <wp:lineTo x="21258" y="10087"/>
                <wp:lineTo x="21258" y="7205"/>
                <wp:lineTo x="15111" y="0"/>
                <wp:lineTo x="3842" y="0"/>
              </wp:wrapPolygon>
            </wp:wrapTight>
            <wp:docPr id="904565028" name="Picture 3"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logo"/>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606868" cy="856996"/>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574E3002" w14:textId="34204C86" w:rsidR="00041048" w:rsidRDefault="00041048" w:rsidP="00041048"/>
    <w:p w14:paraId="77CD8159" w14:textId="77777777" w:rsidR="00A64AF1" w:rsidRDefault="00A64AF1"/>
    <w:p w14:paraId="6E22DF71" w14:textId="77777777" w:rsidR="00E42324" w:rsidRDefault="00E42324"/>
    <w:p w14:paraId="7AE28DEB" w14:textId="77777777" w:rsidR="00E42324" w:rsidRDefault="00E42324"/>
    <w:p w14:paraId="131E3C7F" w14:textId="77777777" w:rsidR="00E42324" w:rsidRDefault="00E42324"/>
    <w:p w14:paraId="667DBDFC" w14:textId="77777777" w:rsidR="00E42324" w:rsidRDefault="00E42324" w:rsidP="0001420B">
      <w:pPr>
        <w:jc w:val="center"/>
        <w:rPr>
          <w:b/>
          <w:bCs/>
          <w:sz w:val="32"/>
          <w:szCs w:val="32"/>
          <w:lang w:val="en-US"/>
        </w:rPr>
      </w:pPr>
      <w:r w:rsidRPr="00E42324">
        <w:rPr>
          <w:b/>
          <w:bCs/>
          <w:sz w:val="32"/>
          <w:szCs w:val="32"/>
          <w:lang w:val="en-US"/>
        </w:rPr>
        <w:t>Burgundy: Up From the Cellar 39</w:t>
      </w:r>
    </w:p>
    <w:p w14:paraId="07BE926D" w14:textId="77777777" w:rsidR="0001420B" w:rsidRPr="0001420B" w:rsidRDefault="0001420B" w:rsidP="0001420B">
      <w:pPr>
        <w:jc w:val="center"/>
        <w:rPr>
          <w:b/>
          <w:bCs/>
          <w:sz w:val="32"/>
          <w:szCs w:val="32"/>
          <w:lang w:val="en-US"/>
        </w:rPr>
      </w:pPr>
    </w:p>
    <w:p w14:paraId="4825DEC6" w14:textId="77777777" w:rsidR="00E42324" w:rsidRPr="00E42324" w:rsidRDefault="00E42324" w:rsidP="00E42324">
      <w:pPr>
        <w:rPr>
          <w:lang w:val="en-US"/>
        </w:rPr>
      </w:pPr>
    </w:p>
    <w:p w14:paraId="54C37F73" w14:textId="1D00942F" w:rsidR="00E42324" w:rsidRPr="00E42324" w:rsidRDefault="00E42324" w:rsidP="00E42324">
      <w:pPr>
        <w:rPr>
          <w:lang w:val="en-US"/>
        </w:rPr>
      </w:pPr>
      <w:r w:rsidRPr="00E42324">
        <w:rPr>
          <w:lang w:val="fr-FR"/>
        </w:rPr>
        <w:drawing>
          <wp:anchor distT="0" distB="0" distL="114300" distR="114300" simplePos="0" relativeHeight="251659264" behindDoc="1" locked="0" layoutInCell="1" allowOverlap="1" wp14:anchorId="3204354E" wp14:editId="6423AC61">
            <wp:simplePos x="0" y="0"/>
            <wp:positionH relativeFrom="column">
              <wp:posOffset>0</wp:posOffset>
            </wp:positionH>
            <wp:positionV relativeFrom="paragraph">
              <wp:posOffset>0</wp:posOffset>
            </wp:positionV>
            <wp:extent cx="476250" cy="476250"/>
            <wp:effectExtent l="0" t="0" r="0" b="0"/>
            <wp:wrapTight wrapText="bothSides">
              <wp:wrapPolygon edited="0">
                <wp:start x="0" y="0"/>
                <wp:lineTo x="0" y="20736"/>
                <wp:lineTo x="20736" y="20736"/>
                <wp:lineTo x="20736" y="0"/>
                <wp:lineTo x="0" y="0"/>
              </wp:wrapPolygon>
            </wp:wrapTight>
            <wp:docPr id="1717698841" name="Picture 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76250" cy="476250"/>
                    </a:xfrm>
                    <a:prstGeom prst="rect">
                      <a:avLst/>
                    </a:prstGeom>
                    <a:noFill/>
                    <a:ln>
                      <a:noFill/>
                    </a:ln>
                  </pic:spPr>
                </pic:pic>
              </a:graphicData>
            </a:graphic>
          </wp:anchor>
        </w:drawing>
      </w:r>
      <w:r w:rsidRPr="00E42324">
        <w:rPr>
          <w:lang w:val="en-US"/>
        </w:rPr>
        <w:t>By </w:t>
      </w:r>
      <w:hyperlink r:id="rId8" w:tgtFrame="_blank" w:tooltip="https://www.robertparker.com/author/qAmyK6XuBGKWfPQHq" w:history="1">
        <w:r w:rsidRPr="00E42324">
          <w:rPr>
            <w:rStyle w:val="Hyperlink"/>
            <w:lang w:val="en-US"/>
          </w:rPr>
          <w:t>William Kelley</w:t>
        </w:r>
      </w:hyperlink>
    </w:p>
    <w:p w14:paraId="6AFD37CB" w14:textId="77777777" w:rsidR="00E42324" w:rsidRDefault="00E42324" w:rsidP="0001420B">
      <w:pPr>
        <w:rPr>
          <w:lang w:val="en-US"/>
        </w:rPr>
      </w:pPr>
      <w:r w:rsidRPr="00E42324">
        <w:rPr>
          <w:lang w:val="en-US"/>
        </w:rPr>
        <w:t>Feb 6, 2025</w:t>
      </w:r>
    </w:p>
    <w:p w14:paraId="46846C0A" w14:textId="77777777" w:rsidR="00E42324" w:rsidRDefault="00E42324" w:rsidP="00E42324">
      <w:pPr>
        <w:rPr>
          <w:lang w:val="en-US"/>
        </w:rPr>
      </w:pPr>
    </w:p>
    <w:p w14:paraId="001D172C" w14:textId="77777777" w:rsidR="0001420B" w:rsidRPr="00E42324" w:rsidRDefault="0001420B" w:rsidP="00E42324">
      <w:pPr>
        <w:rPr>
          <w:lang w:val="en-US"/>
        </w:rPr>
      </w:pPr>
    </w:p>
    <w:p w14:paraId="0F5243F6" w14:textId="77777777" w:rsidR="00E42324" w:rsidRDefault="00E42324" w:rsidP="0001420B">
      <w:pPr>
        <w:ind w:firstLine="720"/>
        <w:rPr>
          <w:lang w:val="en-US"/>
        </w:rPr>
      </w:pPr>
      <w:r w:rsidRPr="00E42324">
        <w:rPr>
          <w:lang w:val="en-US"/>
        </w:rPr>
        <w:t xml:space="preserve">For many years, I ended each year worrying that next year’s bottles won’t be able to match the standard set by the last 12 months. Today, I enjoy the journey more than keeping score, and if it transpires that 2024 marks the high point of my drinking career, I wouldn’t complain. This installment of Up from the Cellar records </w:t>
      </w:r>
      <w:proofErr w:type="gramStart"/>
      <w:r w:rsidRPr="00E42324">
        <w:rPr>
          <w:lang w:val="en-US"/>
        </w:rPr>
        <w:t>the</w:t>
      </w:r>
      <w:proofErr w:type="gramEnd"/>
      <w:r w:rsidRPr="00E42324">
        <w:rPr>
          <w:lang w:val="en-US"/>
        </w:rPr>
        <w:t xml:space="preserve"> most interesting Burgundies I enjoyed over the last year.</w:t>
      </w:r>
    </w:p>
    <w:p w14:paraId="75FB2CFD" w14:textId="77777777" w:rsidR="0001420B" w:rsidRPr="00E42324" w:rsidRDefault="0001420B" w:rsidP="0001420B">
      <w:pPr>
        <w:ind w:firstLine="720"/>
        <w:rPr>
          <w:lang w:val="en-US"/>
        </w:rPr>
      </w:pPr>
    </w:p>
    <w:p w14:paraId="6205E658" w14:textId="77777777" w:rsidR="00E42324" w:rsidRDefault="00E42324" w:rsidP="00E42324">
      <w:pPr>
        <w:rPr>
          <w:lang w:val="en-US"/>
        </w:rPr>
      </w:pPr>
      <w:r w:rsidRPr="00E42324">
        <w:rPr>
          <w:lang w:val="en-US"/>
        </w:rPr>
        <w:t>Ranging from the mid-19th century (mostly informed by a cache of wines, unmoved since at least 1886, that I recently acquired in Beaune) to very recent vintages, it’s also a record of evolving agronomic and winemaking practices. Over the last 150 years, Burgundy’s terroirs haven’t ostensibly changed much, excluding some erosion and earthmoving here and there, but how we produce and consume wine has changed immeasurably.</w:t>
      </w:r>
    </w:p>
    <w:p w14:paraId="6F9F080F" w14:textId="77777777" w:rsidR="0001420B" w:rsidRPr="00E42324" w:rsidRDefault="0001420B" w:rsidP="00E42324">
      <w:pPr>
        <w:rPr>
          <w:lang w:val="en-US"/>
        </w:rPr>
      </w:pPr>
    </w:p>
    <w:p w14:paraId="17629DBB" w14:textId="77777777" w:rsidR="00E42324" w:rsidRDefault="00E42324" w:rsidP="00E42324">
      <w:pPr>
        <w:rPr>
          <w:lang w:val="en-US"/>
        </w:rPr>
      </w:pPr>
      <w:r w:rsidRPr="00E42324">
        <w:rPr>
          <w:lang w:val="en-US"/>
        </w:rPr>
        <w:t xml:space="preserve">The oldest bottles reviewed in this article were produced from </w:t>
      </w:r>
      <w:proofErr w:type="spellStart"/>
      <w:r w:rsidRPr="00E42324">
        <w:rPr>
          <w:lang w:val="en-US"/>
        </w:rPr>
        <w:t>ungrafted</w:t>
      </w:r>
      <w:proofErr w:type="spellEnd"/>
      <w:r w:rsidRPr="00E42324">
        <w:rPr>
          <w:lang w:val="en-US"/>
        </w:rPr>
        <w:t xml:space="preserve"> vines, planted at very high densities (20,000 to 30,000 vines per hectare), and likely reproduced by </w:t>
      </w:r>
      <w:proofErr w:type="spellStart"/>
      <w:r w:rsidRPr="00E42324">
        <w:rPr>
          <w:i/>
          <w:iCs/>
          <w:lang w:val="en-US"/>
        </w:rPr>
        <w:t>provinage</w:t>
      </w:r>
      <w:proofErr w:type="spellEnd"/>
      <w:r w:rsidRPr="00E42324">
        <w:rPr>
          <w:lang w:val="en-US"/>
        </w:rPr>
        <w:t>, whereby vines are reproduced by burying their shoots and allowing them to form new roots. Cultivation was entirely manual, and the scourges of downy and powdery mildew, like phylloxera, hadn’t yet made incursions in France.</w:t>
      </w:r>
    </w:p>
    <w:p w14:paraId="33A49352" w14:textId="77777777" w:rsidR="0001420B" w:rsidRPr="00E42324" w:rsidRDefault="0001420B" w:rsidP="00E42324">
      <w:pPr>
        <w:rPr>
          <w:lang w:val="en-US"/>
        </w:rPr>
      </w:pPr>
    </w:p>
    <w:p w14:paraId="3D49C7A8" w14:textId="77777777" w:rsidR="00E42324" w:rsidRPr="00E42324" w:rsidRDefault="00E42324" w:rsidP="00E42324">
      <w:pPr>
        <w:rPr>
          <w:lang w:val="en-US"/>
        </w:rPr>
      </w:pPr>
      <w:r w:rsidRPr="00E42324">
        <w:rPr>
          <w:lang w:val="en-US"/>
        </w:rPr>
        <w:t>By the interwar period, a revolution had taken place: vineyards were grafted, planted in orderly rows, increasingly trellised, and cultivated by horse. Sulfur and copper sulfate phytosanitary treatments to prevent cryptogamic disease were now the norm—products that the Second World War briefly made difficult to obtain.</w:t>
      </w:r>
    </w:p>
    <w:p w14:paraId="527D3EC3" w14:textId="77777777" w:rsidR="00E42324" w:rsidRPr="00E42324" w:rsidRDefault="00E42324" w:rsidP="00E42324">
      <w:pPr>
        <w:rPr>
          <w:lang w:val="en-US"/>
        </w:rPr>
      </w:pPr>
      <w:r w:rsidRPr="00E42324">
        <w:rPr>
          <w:lang w:val="en-US"/>
        </w:rPr>
        <w:t> </w:t>
      </w:r>
    </w:p>
    <w:p w14:paraId="29DDAAAA" w14:textId="2BB4BCA3" w:rsidR="00E42324" w:rsidRDefault="00E42324" w:rsidP="00E42324">
      <w:pPr>
        <w:rPr>
          <w:lang w:val="en-US"/>
        </w:rPr>
      </w:pPr>
      <w:r w:rsidRPr="00E42324">
        <w:rPr>
          <w:lang w:val="en-US"/>
        </w:rPr>
        <w:t xml:space="preserve">In the postwar years, agrochemicals and mechanization began to make their impact. </w:t>
      </w:r>
      <w:r w:rsidR="00BA489B">
        <w:rPr>
          <w:lang w:val="en-US"/>
        </w:rPr>
        <w:t>W</w:t>
      </w:r>
      <w:r w:rsidRPr="00E42324">
        <w:rPr>
          <w:lang w:val="en-US"/>
        </w:rPr>
        <w:t xml:space="preserve">idespread adoptions of herbicides </w:t>
      </w:r>
      <w:proofErr w:type="gramStart"/>
      <w:r w:rsidRPr="00E42324">
        <w:rPr>
          <w:lang w:val="en-US"/>
        </w:rPr>
        <w:t>had</w:t>
      </w:r>
      <w:proofErr w:type="gramEnd"/>
      <w:r w:rsidRPr="00E42324">
        <w:rPr>
          <w:lang w:val="en-US"/>
        </w:rPr>
        <w:t xml:space="preserve"> followed by the 1970s, with the first clonal selections making their appearance in 1971, and the first antifungal products by the early 1980s. Yields, often inversely correlated with ripeness and cleanliness, rocketed. Increasingly, </w:t>
      </w:r>
      <w:proofErr w:type="gramStart"/>
      <w:r w:rsidRPr="00E42324">
        <w:rPr>
          <w:lang w:val="en-US"/>
        </w:rPr>
        <w:t>resort was</w:t>
      </w:r>
      <w:proofErr w:type="gramEnd"/>
      <w:r w:rsidRPr="00E42324">
        <w:rPr>
          <w:lang w:val="en-US"/>
        </w:rPr>
        <w:t xml:space="preserve"> had to enology to supply what nature hadn’t.</w:t>
      </w:r>
    </w:p>
    <w:p w14:paraId="7EE0CAEB" w14:textId="77777777" w:rsidR="00BA489B" w:rsidRPr="00E42324" w:rsidRDefault="00BA489B" w:rsidP="00E42324">
      <w:pPr>
        <w:rPr>
          <w:lang w:val="en-US"/>
        </w:rPr>
      </w:pPr>
    </w:p>
    <w:p w14:paraId="37E8FDD8" w14:textId="77777777" w:rsidR="00E42324" w:rsidRDefault="00E42324" w:rsidP="00E42324">
      <w:pPr>
        <w:rPr>
          <w:lang w:val="en-US"/>
        </w:rPr>
      </w:pPr>
      <w:r w:rsidRPr="00E42324">
        <w:rPr>
          <w:lang w:val="en-US"/>
        </w:rPr>
        <w:lastRenderedPageBreak/>
        <w:t xml:space="preserve">Initially, that meant simply sugar, acidity and tannin, additives employed for over a century; but, by the 1980s, more modern techniques of </w:t>
      </w:r>
      <w:proofErr w:type="spellStart"/>
      <w:r w:rsidRPr="00E42324">
        <w:rPr>
          <w:lang w:val="en-US"/>
        </w:rPr>
        <w:t>sulfitic</w:t>
      </w:r>
      <w:proofErr w:type="spellEnd"/>
      <w:r w:rsidRPr="00E42324">
        <w:rPr>
          <w:lang w:val="en-US"/>
        </w:rPr>
        <w:t xml:space="preserve"> and enzymatic extraction joined the roster, along with a hefty dose of stylistic culture wars. (Such debates were hardly new, in fact: in the early 19th-century, controversy had raged about the ideal duration of maceration and appropriate degree of extraction, couched in terms that would be amusingly familiar to wine lovers today.)</w:t>
      </w:r>
    </w:p>
    <w:p w14:paraId="6A639153" w14:textId="77777777" w:rsidR="00BA489B" w:rsidRPr="00E42324" w:rsidRDefault="00BA489B" w:rsidP="00E42324">
      <w:pPr>
        <w:rPr>
          <w:lang w:val="en-US"/>
        </w:rPr>
      </w:pPr>
    </w:p>
    <w:p w14:paraId="005F2941" w14:textId="77777777" w:rsidR="00E42324" w:rsidRDefault="00E42324" w:rsidP="00E42324">
      <w:pPr>
        <w:rPr>
          <w:lang w:val="en-US"/>
        </w:rPr>
      </w:pPr>
      <w:r w:rsidRPr="00E42324">
        <w:rPr>
          <w:lang w:val="en-US"/>
        </w:rPr>
        <w:t xml:space="preserve">Drinking wines like these, then, is just as much a journey in cultural history as it is an exploration of flavors, and it’s </w:t>
      </w:r>
      <w:proofErr w:type="gramStart"/>
      <w:r w:rsidRPr="00E42324">
        <w:rPr>
          <w:lang w:val="en-US"/>
        </w:rPr>
        <w:t>all the more</w:t>
      </w:r>
      <w:proofErr w:type="gramEnd"/>
      <w:r w:rsidRPr="00E42324">
        <w:rPr>
          <w:lang w:val="en-US"/>
        </w:rPr>
        <w:t xml:space="preserve"> vivid when the bottles are so well conserved. For the most part, I’ve only included notes on pristine examples, in many cases wines that have never moved more than a few hundred kilometers. A few, opened at the end of tastings in cellars, have never moved at all, but most were enjoyed with friends and family. While attempting to retain up-to-date notes on a wide and representative range of Burgundies is an essentially impossible task, I hope the accompanying notes will prove at least interesting and perhaps suggestive.</w:t>
      </w:r>
    </w:p>
    <w:p w14:paraId="6FAE4635" w14:textId="77777777" w:rsidR="00BA489B" w:rsidRDefault="00BA489B" w:rsidP="00E42324">
      <w:pPr>
        <w:rPr>
          <w:lang w:val="en-US"/>
        </w:rPr>
      </w:pPr>
    </w:p>
    <w:p w14:paraId="62AFF701" w14:textId="77777777" w:rsidR="00213FC7" w:rsidRDefault="00213FC7" w:rsidP="00E42324">
      <w:pPr>
        <w:rPr>
          <w:lang w:val="en-US"/>
        </w:rPr>
      </w:pPr>
    </w:p>
    <w:p w14:paraId="0F597D23" w14:textId="6C86C19D" w:rsidR="00213FC7" w:rsidRPr="00E42324" w:rsidRDefault="0001420B" w:rsidP="00E42324">
      <w:pPr>
        <w:rPr>
          <w:lang w:val="en-US"/>
        </w:rPr>
      </w:pPr>
      <w:r>
        <w:rPr>
          <w:noProof/>
          <w:lang w:val="en-US"/>
        </w:rPr>
        <w:drawing>
          <wp:inline distT="0" distB="0" distL="0" distR="0" wp14:anchorId="128D0266" wp14:editId="5D48A300">
            <wp:extent cx="5245100" cy="2154744"/>
            <wp:effectExtent l="0" t="0" r="0" b="0"/>
            <wp:docPr id="1829632821"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246648" cy="2155380"/>
                    </a:xfrm>
                    <a:prstGeom prst="rect">
                      <a:avLst/>
                    </a:prstGeom>
                    <a:noFill/>
                  </pic:spPr>
                </pic:pic>
              </a:graphicData>
            </a:graphic>
          </wp:inline>
        </w:drawing>
      </w:r>
      <w:r>
        <w:rPr>
          <w:noProof/>
        </w:rPr>
        <mc:AlternateContent>
          <mc:Choice Requires="wps">
            <w:drawing>
              <wp:inline distT="0" distB="0" distL="0" distR="0" wp14:anchorId="58A56BD0" wp14:editId="7D874FCF">
                <wp:extent cx="304800" cy="304800"/>
                <wp:effectExtent l="0" t="0" r="0" b="0"/>
                <wp:docPr id="1106091310" name="Rectangle 6"/>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39295C0" id="Rectangle 6" o:spid="_x0000_s1026"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" filled="f" stroked="f">
                <o:lock v:ext="edit" aspectratio="t"/>
                <w10:anchorlock/>
              </v:rect>
            </w:pict>
          </mc:Fallback>
        </mc:AlternateContent>
      </w:r>
    </w:p>
    <w:p w14:paraId="5DBE57A9" w14:textId="77777777" w:rsidR="00E42324" w:rsidRPr="00E42324" w:rsidRDefault="00E42324" w:rsidP="00E42324">
      <w:pPr>
        <w:rPr>
          <w:lang w:val="en-US"/>
        </w:rPr>
      </w:pPr>
      <w:r w:rsidRPr="00E42324">
        <w:rPr>
          <w:lang w:val="en-US"/>
        </w:rPr>
        <w:t> </w:t>
      </w:r>
    </w:p>
    <w:p w14:paraId="6A35DF50" w14:textId="77777777" w:rsidR="00E42324" w:rsidRPr="00E42324" w:rsidRDefault="00E42324" w:rsidP="00E42324">
      <w:pPr>
        <w:rPr>
          <w:lang w:val="en-US"/>
        </w:rPr>
      </w:pPr>
      <w:r w:rsidRPr="00E42324">
        <w:rPr>
          <w:lang w:val="fr-FR"/>
        </w:rPr>
        <w:t> </w:t>
      </w:r>
    </w:p>
    <w:p w14:paraId="2FC4DE06" w14:textId="77777777" w:rsidR="00E42324" w:rsidRPr="00E42324" w:rsidRDefault="00E42324" w:rsidP="00E42324">
      <w:pPr>
        <w:rPr>
          <w:lang w:val="en-US"/>
        </w:rPr>
      </w:pPr>
      <w:hyperlink r:id="rId10" w:tgtFrame="_blank" w:tooltip="https://www.robertparker.com/articles/ku4m6RKThzPkbXLEs" w:history="1">
        <w:r w:rsidRPr="00E42324">
          <w:rPr>
            <w:rStyle w:val="Hyperlink"/>
            <w:lang w:val="fr-FR"/>
          </w:rPr>
          <w:t>https://www.robertparker.com/articles/ku4m6RKThzPkbXLEs</w:t>
        </w:r>
      </w:hyperlink>
    </w:p>
    <w:p w14:paraId="50A6917E" w14:textId="7858000C" w:rsidR="002300D4" w:rsidRDefault="002300D4"/>
    <w:sectPr w:rsidR="002300D4">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0A69188" w14:textId="77777777" w:rsidR="003A38DD" w:rsidRDefault="003A38DD">
      <w:pPr>
        <w:spacing w:line="240" w:lineRule="auto"/>
      </w:pPr>
      <w:r>
        <w:separator/>
      </w:r>
    </w:p>
  </w:endnote>
  <w:endnote w:type="continuationSeparator" w:id="0">
    <w:p w14:paraId="50A6918A" w14:textId="77777777" w:rsidR="003A38DD" w:rsidRDefault="003A38D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0A69184" w14:textId="77777777" w:rsidR="003A38DD" w:rsidRDefault="003A38DD">
      <w:pPr>
        <w:spacing w:line="240" w:lineRule="auto"/>
      </w:pPr>
      <w:r>
        <w:separator/>
      </w:r>
    </w:p>
  </w:footnote>
  <w:footnote w:type="continuationSeparator" w:id="0">
    <w:p w14:paraId="50A69186" w14:textId="77777777" w:rsidR="003A38DD" w:rsidRDefault="003A38DD">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300D4"/>
    <w:rsid w:val="0001420B"/>
    <w:rsid w:val="00041048"/>
    <w:rsid w:val="00095A32"/>
    <w:rsid w:val="00171E86"/>
    <w:rsid w:val="00213FC7"/>
    <w:rsid w:val="00215242"/>
    <w:rsid w:val="002300D4"/>
    <w:rsid w:val="002E2AD4"/>
    <w:rsid w:val="003308C7"/>
    <w:rsid w:val="00336FB1"/>
    <w:rsid w:val="003467A6"/>
    <w:rsid w:val="00382704"/>
    <w:rsid w:val="003A38DD"/>
    <w:rsid w:val="004D7106"/>
    <w:rsid w:val="005302E3"/>
    <w:rsid w:val="0067600C"/>
    <w:rsid w:val="006F1DFC"/>
    <w:rsid w:val="008212BD"/>
    <w:rsid w:val="008259E2"/>
    <w:rsid w:val="00896565"/>
    <w:rsid w:val="008F74DE"/>
    <w:rsid w:val="0094051F"/>
    <w:rsid w:val="009A66C5"/>
    <w:rsid w:val="00A00C0E"/>
    <w:rsid w:val="00A3523F"/>
    <w:rsid w:val="00A64AF1"/>
    <w:rsid w:val="00BA489B"/>
    <w:rsid w:val="00BD1EE4"/>
    <w:rsid w:val="00BE25DA"/>
    <w:rsid w:val="00C84F13"/>
    <w:rsid w:val="00CC19A2"/>
    <w:rsid w:val="00CF726F"/>
    <w:rsid w:val="00D238C4"/>
    <w:rsid w:val="00DB6F0E"/>
    <w:rsid w:val="00DD54C2"/>
    <w:rsid w:val="00E148C1"/>
    <w:rsid w:val="00E42324"/>
    <w:rsid w:val="00F97A79"/>
    <w:rsid w:val="00FB16E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50A69161"/>
  <w15:docId w15:val="{69A6D7C5-C819-440E-B59F-87D973513A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Header">
    <w:name w:val="header"/>
    <w:basedOn w:val="Normal"/>
    <w:link w:val="HeaderChar"/>
    <w:uiPriority w:val="99"/>
    <w:unhideWhenUsed/>
    <w:rsid w:val="0094051F"/>
    <w:pPr>
      <w:tabs>
        <w:tab w:val="center" w:pos="4680"/>
        <w:tab w:val="right" w:pos="9360"/>
      </w:tabs>
      <w:spacing w:line="240" w:lineRule="auto"/>
    </w:pPr>
  </w:style>
  <w:style w:type="character" w:customStyle="1" w:styleId="HeaderChar">
    <w:name w:val="Header Char"/>
    <w:basedOn w:val="DefaultParagraphFont"/>
    <w:link w:val="Header"/>
    <w:uiPriority w:val="99"/>
    <w:rsid w:val="0094051F"/>
  </w:style>
  <w:style w:type="paragraph" w:styleId="Footer">
    <w:name w:val="footer"/>
    <w:basedOn w:val="Normal"/>
    <w:link w:val="FooterChar"/>
    <w:uiPriority w:val="99"/>
    <w:unhideWhenUsed/>
    <w:rsid w:val="0094051F"/>
    <w:pPr>
      <w:tabs>
        <w:tab w:val="center" w:pos="4680"/>
        <w:tab w:val="right" w:pos="9360"/>
      </w:tabs>
      <w:spacing w:line="240" w:lineRule="auto"/>
    </w:pPr>
  </w:style>
  <w:style w:type="character" w:customStyle="1" w:styleId="FooterChar">
    <w:name w:val="Footer Char"/>
    <w:basedOn w:val="DefaultParagraphFont"/>
    <w:link w:val="Footer"/>
    <w:uiPriority w:val="99"/>
    <w:rsid w:val="0094051F"/>
  </w:style>
  <w:style w:type="character" w:styleId="Hyperlink">
    <w:name w:val="Hyperlink"/>
    <w:basedOn w:val="DefaultParagraphFont"/>
    <w:uiPriority w:val="99"/>
    <w:unhideWhenUsed/>
    <w:rsid w:val="00CC19A2"/>
    <w:rPr>
      <w:color w:val="0000FF" w:themeColor="hyperlink"/>
      <w:u w:val="single"/>
    </w:rPr>
  </w:style>
  <w:style w:type="character" w:styleId="UnresolvedMention">
    <w:name w:val="Unresolved Mention"/>
    <w:basedOn w:val="DefaultParagraphFont"/>
    <w:uiPriority w:val="99"/>
    <w:semiHidden/>
    <w:unhideWhenUsed/>
    <w:rsid w:val="00CC19A2"/>
    <w:rPr>
      <w:color w:val="605E5C"/>
      <w:shd w:val="clear" w:color="auto" w:fill="E1DFDD"/>
    </w:rPr>
  </w:style>
  <w:style w:type="character" w:styleId="FollowedHyperlink">
    <w:name w:val="FollowedHyperlink"/>
    <w:basedOn w:val="DefaultParagraphFont"/>
    <w:uiPriority w:val="99"/>
    <w:semiHidden/>
    <w:unhideWhenUsed/>
    <w:rsid w:val="003A38DD"/>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39234604">
      <w:bodyDiv w:val="1"/>
      <w:marLeft w:val="0"/>
      <w:marRight w:val="0"/>
      <w:marTop w:val="0"/>
      <w:marBottom w:val="0"/>
      <w:divBdr>
        <w:top w:val="none" w:sz="0" w:space="0" w:color="auto"/>
        <w:left w:val="none" w:sz="0" w:space="0" w:color="auto"/>
        <w:bottom w:val="none" w:sz="0" w:space="0" w:color="auto"/>
        <w:right w:val="none" w:sz="0" w:space="0" w:color="auto"/>
      </w:divBdr>
    </w:div>
    <w:div w:id="646322245">
      <w:bodyDiv w:val="1"/>
      <w:marLeft w:val="0"/>
      <w:marRight w:val="0"/>
      <w:marTop w:val="0"/>
      <w:marBottom w:val="0"/>
      <w:divBdr>
        <w:top w:val="none" w:sz="0" w:space="0" w:color="auto"/>
        <w:left w:val="none" w:sz="0" w:space="0" w:color="auto"/>
        <w:bottom w:val="none" w:sz="0" w:space="0" w:color="auto"/>
        <w:right w:val="none" w:sz="0" w:space="0" w:color="auto"/>
      </w:divBdr>
    </w:div>
    <w:div w:id="755514270">
      <w:bodyDiv w:val="1"/>
      <w:marLeft w:val="0"/>
      <w:marRight w:val="0"/>
      <w:marTop w:val="0"/>
      <w:marBottom w:val="0"/>
      <w:divBdr>
        <w:top w:val="none" w:sz="0" w:space="0" w:color="auto"/>
        <w:left w:val="none" w:sz="0" w:space="0" w:color="auto"/>
        <w:bottom w:val="none" w:sz="0" w:space="0" w:color="auto"/>
        <w:right w:val="none" w:sz="0" w:space="0" w:color="auto"/>
      </w:divBdr>
    </w:div>
    <w:div w:id="203581052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robertparker.com/author/qAmyK6XuBGKWfPQHq" TargetMode="External"/><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hyperlink" Target="https://www.robertparker.com/articles/ku4m6RKThzPkbXLEs" TargetMode="External"/><Relationship Id="rId4" Type="http://schemas.openxmlformats.org/officeDocument/2006/relationships/footnotes" Target="footnotes.xml"/><Relationship Id="rId9"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526</Words>
  <Characters>3002</Characters>
  <Application>Microsoft Office Word</Application>
  <DocSecurity>0</DocSecurity>
  <Lines>25</Lines>
  <Paragraphs>7</Paragraphs>
  <ScaleCrop>false</ScaleCrop>
  <Company/>
  <LinksUpToDate>false</LinksUpToDate>
  <CharactersWithSpaces>3521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Davonte Straing</dc:creator>
  <cp:lastModifiedBy>Patricia Trujillo</cp:lastModifiedBy>
  <cp:revision>2</cp:revision>
  <dcterms:created xsi:type="dcterms:W3CDTF">2025-02-07T15:30:00Z</dcterms:created>
  <dcterms:modified xsi:type="dcterms:W3CDTF">2025-02-07T15:30:00Z</dcterms:modified>
</cp:coreProperties>
</file>